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90"/>
        <w:gridCol w:w="975"/>
        <w:gridCol w:w="1740"/>
        <w:gridCol w:w="60"/>
        <w:gridCol w:w="975"/>
        <w:gridCol w:w="975"/>
        <w:gridCol w:w="975"/>
        <w:gridCol w:w="975"/>
        <w:gridCol w:w="870"/>
        <w:gridCol w:w="975"/>
        <w:gridCol w:w="975"/>
      </w:tblGrid>
      <w:tr>
        <w:trPr>
          <w:cantSplit/>
          <w:trHeight w:val="0" w:hRule="auto"/>
        </w:trPr>
        <w:tc>
          <w:tcPr>
            <w:tcW w:w="90" w:type="dxa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95" w:type="dxa"/>
            <w:gridSpan w:val="10"/>
            <w:vMerge w:val="restart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26"/>
                <w:szCs w:val="26"/>
              </w:rPr>
              <w:t>ООО "УСАДЬБА БЕЛОГОРЬЕ"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Полное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"УСАДЬБА БЕЛОГОРЬЕ"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Сокращенное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ООО "УСАДЬБА БЕЛОГОРЬЕ"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ИНН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3702179957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КПП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910901001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ОГРН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1173702013374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Юридический адрес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297642, Республика Крым, м.р-н Белогорский, с.п. Чернопольское, с Чернополье, ул Школьная, зд. 2, помещ. 26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Директор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Герасимова Елизавета Борисовна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Главный бухгалтер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Федотова Ольга Николаевна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Номер счета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40702810617000010090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Банк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ТУЛЬСКОЕ ОТДЕЛЕНИЕ N8604 ПАО СБЕРБАНК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БИК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047003608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Корр. счет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30101810300000000608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Контакты</w:t>
            </w: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Телефон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8 (800) 350-86-04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Электронная почта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info@usadbabelogorie.ru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